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5CC" w:rsidRDefault="009000E6">
      <w:pPr>
        <w:pStyle w:val="Heading1"/>
        <w:rPr>
          <w:u w:val="none"/>
        </w:rPr>
      </w:pPr>
      <w:r>
        <w:t>Project:</w:t>
      </w:r>
      <w:r>
        <w:rPr>
          <w:spacing w:val="1"/>
          <w:u w:val="none"/>
        </w:rPr>
        <w:t xml:space="preserve"> </w:t>
      </w:r>
      <w:r>
        <w:rPr>
          <w:u w:val="none"/>
        </w:rPr>
        <w:t>Ozonolysis and Photocatalytic Oxidation Treatment</w:t>
      </w:r>
      <w:r>
        <w:rPr>
          <w:spacing w:val="-67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Effluents</w:t>
      </w:r>
      <w:r>
        <w:rPr>
          <w:spacing w:val="-2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Organic</w:t>
      </w:r>
      <w:r>
        <w:rPr>
          <w:spacing w:val="-2"/>
          <w:u w:val="none"/>
        </w:rPr>
        <w:t xml:space="preserve"> </w:t>
      </w:r>
      <w:r>
        <w:rPr>
          <w:u w:val="none"/>
        </w:rPr>
        <w:t>Contamination</w:t>
      </w:r>
    </w:p>
    <w:p w:rsidR="005545CC" w:rsidRDefault="009000E6">
      <w:pPr>
        <w:spacing w:before="121"/>
        <w:ind w:left="100"/>
        <w:jc w:val="both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Authors: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Llorden, Lucia Madroñal,</w:t>
      </w:r>
      <w:r>
        <w:rPr>
          <w:spacing w:val="-14"/>
          <w:sz w:val="24"/>
        </w:rPr>
        <w:t xml:space="preserve"> </w:t>
      </w:r>
      <w:r>
        <w:rPr>
          <w:sz w:val="24"/>
        </w:rPr>
        <w:t>Anahel</w:t>
      </w:r>
    </w:p>
    <w:p w:rsidR="005545CC" w:rsidRDefault="009000E6">
      <w:pPr>
        <w:pStyle w:val="BodyText"/>
        <w:spacing w:before="120"/>
        <w:ind w:left="100"/>
        <w:jc w:val="both"/>
      </w:pPr>
      <w:r>
        <w:rPr>
          <w:b/>
          <w:spacing w:val="-1"/>
        </w:rPr>
        <w:t xml:space="preserve">Institution: </w:t>
      </w:r>
      <w:r>
        <w:t>E.E.S.T.</w:t>
      </w:r>
      <w:r>
        <w:rPr>
          <w:spacing w:val="-1"/>
        </w:rPr>
        <w:t xml:space="preserve"> </w:t>
      </w:r>
      <w:r>
        <w:t>Nª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Martín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Pcia.</w:t>
      </w:r>
      <w:r>
        <w:rPr>
          <w:spacing w:val="-1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As-</w:t>
      </w:r>
      <w:r>
        <w:rPr>
          <w:spacing w:val="-14"/>
        </w:rPr>
        <w:t xml:space="preserve"> </w:t>
      </w:r>
      <w:r>
        <w:t>Argentina</w:t>
      </w:r>
    </w:p>
    <w:p w:rsidR="005545CC" w:rsidRDefault="009000E6">
      <w:pPr>
        <w:pStyle w:val="BodyText"/>
        <w:spacing w:before="120"/>
        <w:ind w:left="100" w:right="38"/>
        <w:jc w:val="both"/>
      </w:pPr>
      <w:r>
        <w:t>The work carried out was aimed at assisting oxidative processes, for 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effluents</w:t>
      </w:r>
      <w:r>
        <w:rPr>
          <w:spacing w:val="1"/>
        </w:rPr>
        <w:t xml:space="preserve"> </w:t>
      </w:r>
      <w:r>
        <w:t>with organic substances contamination. The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>
        <w:t>by the</w:t>
      </w:r>
      <w:r>
        <w:rPr>
          <w:spacing w:val="-57"/>
        </w:rPr>
        <w:t xml:space="preserve"> </w:t>
      </w:r>
      <w:r>
        <w:t>action of ozone (ozonolysis), followed by a photocatalytic oxidation, by the</w:t>
      </w:r>
      <w:r>
        <w:rPr>
          <w:spacing w:val="1"/>
        </w:rPr>
        <w:t xml:space="preserve"> </w:t>
      </w:r>
      <w:r>
        <w:t>action of photocatalysts activated by ultraviolet radiation.</w:t>
      </w:r>
    </w:p>
    <w:p w:rsidR="005545CC" w:rsidRDefault="009000E6">
      <w:pPr>
        <w:pStyle w:val="BodyText"/>
        <w:ind w:left="100" w:right="40"/>
        <w:jc w:val="both"/>
      </w:pPr>
      <w:r>
        <w:t>To</w:t>
      </w:r>
      <w:r>
        <w:rPr>
          <w:spacing w:val="56"/>
        </w:rPr>
        <w:t xml:space="preserve"> </w:t>
      </w:r>
      <w:r>
        <w:t>check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efficacy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proposal,</w:t>
      </w:r>
      <w:r>
        <w:rPr>
          <w:spacing w:val="56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experimental</w:t>
      </w:r>
      <w:r>
        <w:rPr>
          <w:spacing w:val="57"/>
        </w:rPr>
        <w:t xml:space="preserve"> </w:t>
      </w:r>
      <w:r>
        <w:t>pilot</w:t>
      </w:r>
      <w:r>
        <w:rPr>
          <w:spacing w:val="57"/>
        </w:rPr>
        <w:t xml:space="preserve"> </w:t>
      </w:r>
      <w:r>
        <w:t>plant</w:t>
      </w:r>
      <w:r>
        <w:rPr>
          <w:spacing w:val="57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designed to test and evaluate the process under scale conditions, providing</w:t>
      </w:r>
      <w:r>
        <w:rPr>
          <w:spacing w:val="1"/>
        </w:rPr>
        <w:t xml:space="preserve"> </w:t>
      </w:r>
      <w:r>
        <w:t>as an advance the specificity of the photoactive catalysts by ultraviolet light,</w:t>
      </w:r>
      <w:r>
        <w:rPr>
          <w:spacing w:val="-57"/>
        </w:rPr>
        <w:t xml:space="preserve"> </w:t>
      </w:r>
      <w:r>
        <w:t>in conjunction with an ozone producer as a coadjuvant of the process.</w:t>
      </w:r>
    </w:p>
    <w:p w:rsidR="005545CC" w:rsidRDefault="009000E6">
      <w:pPr>
        <w:pStyle w:val="BodyText"/>
        <w:spacing w:before="120"/>
        <w:ind w:left="100" w:right="40"/>
        <w:jc w:val="both"/>
      </w:pP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development was verified through a simulation in the</w:t>
      </w:r>
      <w:r>
        <w:rPr>
          <w:spacing w:val="1"/>
        </w:rPr>
        <w:t xml:space="preserve"> </w:t>
      </w:r>
      <w:r>
        <w:t>prototype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river</w:t>
      </w:r>
      <w:r>
        <w:rPr>
          <w:spacing w:val="1"/>
        </w:rPr>
        <w:t xml:space="preserve"> </w:t>
      </w:r>
      <w:r>
        <w:t>effluent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(COD)</w:t>
      </w:r>
      <w:r>
        <w:rPr>
          <w:spacing w:val="1"/>
        </w:rPr>
        <w:t xml:space="preserve"> </w:t>
      </w:r>
      <w:r>
        <w:t>measurements.</w:t>
      </w:r>
    </w:p>
    <w:p w:rsidR="005545CC" w:rsidRDefault="009000E6">
      <w:pPr>
        <w:pStyle w:val="BodyText"/>
        <w:spacing w:before="120"/>
        <w:ind w:left="100" w:right="38"/>
        <w:jc w:val="both"/>
      </w:pP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 matter,</w:t>
      </w:r>
      <w:r>
        <w:rPr>
          <w:spacing w:val="-57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with a 3rd order reaction kinetics. These values give us an</w:t>
      </w:r>
      <w:r>
        <w:rPr>
          <w:spacing w:val="1"/>
        </w:rPr>
        <w:t xml:space="preserve"> </w:t>
      </w:r>
      <w:r>
        <w:t>optimistic expectation when it comes to choose a viable treatment for this</w:t>
      </w:r>
      <w:r>
        <w:rPr>
          <w:spacing w:val="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effluent.</w:t>
      </w:r>
    </w:p>
    <w:p w:rsidR="005545CC" w:rsidRDefault="005545CC">
      <w:pPr>
        <w:pStyle w:val="BodyText"/>
        <w:rPr>
          <w:sz w:val="26"/>
        </w:rPr>
      </w:pPr>
    </w:p>
    <w:p w:rsidR="005545CC" w:rsidRDefault="009000E6">
      <w:pPr>
        <w:pStyle w:val="Heading2"/>
        <w:spacing w:before="217"/>
      </w:pPr>
      <w:r>
        <w:rPr>
          <w:u w:val="single"/>
        </w:rPr>
        <w:t>Design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redox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achieved</w:t>
      </w:r>
    </w:p>
    <w:p w:rsidR="005545CC" w:rsidRDefault="009000E6">
      <w:pPr>
        <w:pStyle w:val="BodyText"/>
        <w:spacing w:before="120"/>
        <w:ind w:left="670"/>
      </w:pPr>
      <w:r>
        <w:t>The chemical reactions that were simulated with this equipment were:</w:t>
      </w:r>
    </w:p>
    <w:p w:rsidR="005545CC" w:rsidRDefault="005545CC">
      <w:pPr>
        <w:pStyle w:val="BodyText"/>
      </w:pPr>
    </w:p>
    <w:p w:rsidR="005545CC" w:rsidRDefault="009000E6">
      <w:pPr>
        <w:ind w:left="100" w:right="48"/>
        <w:jc w:val="both"/>
        <w:rPr>
          <w:sz w:val="24"/>
        </w:rPr>
      </w:pPr>
      <w:r>
        <w:rPr>
          <w:b/>
          <w:sz w:val="24"/>
        </w:rPr>
        <w:t>Removal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pollutants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ozonolysis: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oxidative</w:t>
      </w:r>
      <w:r>
        <w:rPr>
          <w:spacing w:val="1"/>
          <w:sz w:val="24"/>
        </w:rPr>
        <w:t xml:space="preserve"> </w:t>
      </w:r>
      <w:r>
        <w:rPr>
          <w:sz w:val="24"/>
        </w:rPr>
        <w:t>mineralisation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sz w:val="24"/>
        </w:rPr>
        <w:t>matter,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atomic</w:t>
      </w:r>
      <w:r>
        <w:rPr>
          <w:spacing w:val="1"/>
          <w:sz w:val="24"/>
        </w:rPr>
        <w:t xml:space="preserve"> </w:t>
      </w:r>
      <w:r>
        <w:rPr>
          <w:sz w:val="24"/>
        </w:rPr>
        <w:t>oxygen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decomposition of ozone</w:t>
      </w:r>
    </w:p>
    <w:p w:rsidR="005545CC" w:rsidRDefault="009000E6">
      <w:pPr>
        <w:pStyle w:val="Heading2"/>
        <w:tabs>
          <w:tab w:val="left" w:pos="1018"/>
          <w:tab w:val="left" w:pos="1939"/>
          <w:tab w:val="left" w:pos="2745"/>
          <w:tab w:val="left" w:pos="3242"/>
        </w:tabs>
        <w:spacing w:before="122"/>
        <w:jc w:val="left"/>
      </w:pPr>
      <w:r>
        <w:t>O</w:t>
      </w:r>
      <w:r>
        <w:rPr>
          <w:vertAlign w:val="subscript"/>
        </w:rPr>
        <w:t>3</w:t>
      </w:r>
      <w:r>
        <w:tab/>
      </w:r>
      <w:r>
        <w:rPr>
          <w:rFonts w:ascii="Cambria Math" w:hAnsi="Cambria Math"/>
          <w:b w:val="0"/>
        </w:rPr>
        <w:t>⇌</w:t>
      </w:r>
      <w:r>
        <w:rPr>
          <w:rFonts w:ascii="Cambria Math" w:hAnsi="Cambria Math"/>
          <w:b w:val="0"/>
        </w:rPr>
        <w:tab/>
      </w:r>
      <w:r>
        <w:t>Oº</w:t>
      </w:r>
      <w:r>
        <w:tab/>
        <w:t>+</w:t>
      </w:r>
      <w:r>
        <w:tab/>
        <w:t>O</w:t>
      </w:r>
      <w:r>
        <w:rPr>
          <w:vertAlign w:val="subscript"/>
        </w:rPr>
        <w:t>2</w:t>
      </w:r>
    </w:p>
    <w:p w:rsidR="005545CC" w:rsidRDefault="005545CC">
      <w:pPr>
        <w:pStyle w:val="BodyText"/>
        <w:spacing w:before="6"/>
        <w:rPr>
          <w:b/>
          <w:sz w:val="22"/>
        </w:rPr>
      </w:pPr>
    </w:p>
    <w:p w:rsidR="005545CC" w:rsidRDefault="009000E6">
      <w:pPr>
        <w:tabs>
          <w:tab w:val="left" w:pos="1426"/>
          <w:tab w:val="left" w:pos="2979"/>
        </w:tabs>
        <w:ind w:left="100"/>
        <w:rPr>
          <w:b/>
          <w:sz w:val="14"/>
        </w:rPr>
      </w:pPr>
      <w:r>
        <w:rPr>
          <w:b/>
          <w:w w:val="105"/>
          <w:sz w:val="14"/>
        </w:rPr>
        <w:t>Ozone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atomic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oxygen</w:t>
      </w:r>
      <w:r>
        <w:rPr>
          <w:b/>
          <w:spacing w:val="-1"/>
          <w:w w:val="105"/>
          <w:sz w:val="14"/>
        </w:rPr>
        <w:tab/>
      </w:r>
      <w:r>
        <w:rPr>
          <w:b/>
          <w:sz w:val="14"/>
        </w:rPr>
        <w:t>molecular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oxygen</w:t>
      </w:r>
    </w:p>
    <w:p w:rsidR="005545CC" w:rsidRDefault="009000E6">
      <w:pPr>
        <w:pStyle w:val="Heading2"/>
        <w:spacing w:before="100"/>
      </w:pPr>
      <w:r>
        <w:t>Possible</w:t>
      </w:r>
      <w:r>
        <w:rPr>
          <w:spacing w:val="-2"/>
        </w:rPr>
        <w:t xml:space="preserve"> </w:t>
      </w:r>
      <w:r>
        <w:t>photocatalytic</w:t>
      </w:r>
      <w:r>
        <w:rPr>
          <w:spacing w:val="-1"/>
        </w:rPr>
        <w:t xml:space="preserve"> </w:t>
      </w:r>
      <w:r>
        <w:t>activation</w:t>
      </w:r>
      <w:r>
        <w:rPr>
          <w:spacing w:val="-1"/>
        </w:rPr>
        <w:t xml:space="preserve"> </w:t>
      </w:r>
      <w:r>
        <w:t>reactions:</w:t>
      </w:r>
    </w:p>
    <w:p w:rsidR="005545CC" w:rsidRDefault="009000E6">
      <w:pPr>
        <w:tabs>
          <w:tab w:val="left" w:pos="1240"/>
          <w:tab w:val="left" w:pos="1797"/>
          <w:tab w:val="left" w:pos="2938"/>
          <w:tab w:val="left" w:pos="3799"/>
        </w:tabs>
        <w:spacing w:before="123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2274912</wp:posOffset>
            </wp:positionH>
            <wp:positionV relativeFrom="paragraph">
              <wp:posOffset>124204</wp:posOffset>
            </wp:positionV>
            <wp:extent cx="125276" cy="1041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6" cy="104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529">
        <w:rPr>
          <w:noProof/>
        </w:rPr>
      </w:r>
      <w:r w:rsidR="001375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1.45pt;margin-top:13.2pt;width:3.6pt;height:8pt;z-index:-251654144;mso-position-horizontal-relative:page;mso-position-vertical-relative:text" filled="f" stroked="f">
            <v:textbox inset="0,0,0,0">
              <w:txbxContent>
                <w:p w:rsidR="005545CC" w:rsidRDefault="009000E6">
                  <w:pPr>
                    <w:spacing w:line="159" w:lineRule="exact"/>
                    <w:rPr>
                      <w:b/>
                      <w:sz w:val="14"/>
                    </w:rPr>
                  </w:pPr>
                  <w:r>
                    <w:rPr>
                      <w:b/>
                      <w:w w:val="102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TiO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  <w:t>+</w:t>
      </w:r>
      <w:r>
        <w:rPr>
          <w:b/>
          <w:sz w:val="24"/>
        </w:rPr>
        <w:tab/>
        <w:t>hν</w:t>
      </w:r>
      <w:r>
        <w:rPr>
          <w:b/>
          <w:sz w:val="24"/>
        </w:rPr>
        <w:tab/>
      </w:r>
      <w:r>
        <w:rPr>
          <w:rFonts w:ascii="Cambria Math" w:hAnsi="Cambria Math"/>
          <w:sz w:val="24"/>
        </w:rPr>
        <w:t>⇌</w:t>
      </w:r>
      <w:r>
        <w:rPr>
          <w:rFonts w:ascii="Cambria Math" w:hAnsi="Cambria Math"/>
          <w:sz w:val="24"/>
        </w:rPr>
        <w:tab/>
      </w:r>
      <w:r>
        <w:rPr>
          <w:b/>
          <w:sz w:val="24"/>
        </w:rPr>
        <w:t xml:space="preserve">TiO </w:t>
      </w:r>
      <w:r>
        <w:rPr>
          <w:b/>
          <w:sz w:val="24"/>
          <w:vertAlign w:val="superscript"/>
        </w:rPr>
        <w:t>*</w:t>
      </w:r>
    </w:p>
    <w:p w:rsidR="005545CC" w:rsidRDefault="009000E6">
      <w:pPr>
        <w:tabs>
          <w:tab w:val="left" w:pos="1539"/>
          <w:tab w:val="left" w:pos="3618"/>
        </w:tabs>
        <w:spacing w:before="124"/>
        <w:ind w:left="100"/>
        <w:rPr>
          <w:sz w:val="20"/>
        </w:rPr>
      </w:pPr>
      <w:r>
        <w:rPr>
          <w:sz w:val="20"/>
        </w:rPr>
        <w:t>Titanium</w:t>
      </w:r>
      <w:r>
        <w:rPr>
          <w:sz w:val="20"/>
        </w:rPr>
        <w:tab/>
        <w:t>Photon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z w:val="20"/>
        </w:rPr>
        <w:tab/>
        <w:t>Activated</w:t>
      </w:r>
    </w:p>
    <w:p w:rsidR="005545CC" w:rsidRDefault="009000E6">
      <w:pPr>
        <w:tabs>
          <w:tab w:val="left" w:pos="3429"/>
        </w:tabs>
        <w:spacing w:before="120"/>
        <w:ind w:left="100"/>
        <w:rPr>
          <w:sz w:val="20"/>
        </w:rPr>
      </w:pPr>
      <w:r>
        <w:rPr>
          <w:sz w:val="20"/>
        </w:rPr>
        <w:t>dioxide</w:t>
      </w:r>
      <w:r>
        <w:rPr>
          <w:sz w:val="20"/>
        </w:rPr>
        <w:tab/>
        <w:t>Titanium</w:t>
      </w:r>
      <w:r>
        <w:rPr>
          <w:spacing w:val="-10"/>
          <w:sz w:val="20"/>
        </w:rPr>
        <w:t xml:space="preserve"> </w:t>
      </w:r>
      <w:r>
        <w:rPr>
          <w:sz w:val="20"/>
        </w:rPr>
        <w:t>dioxide</w:t>
      </w:r>
    </w:p>
    <w:p w:rsidR="005545CC" w:rsidRDefault="009000E6">
      <w:pPr>
        <w:tabs>
          <w:tab w:val="left" w:pos="1138"/>
          <w:tab w:val="left" w:pos="1570"/>
          <w:tab w:val="left" w:pos="1689"/>
          <w:tab w:val="left" w:pos="2608"/>
          <w:tab w:val="left" w:pos="3079"/>
          <w:tab w:val="left" w:pos="3189"/>
          <w:tab w:val="left" w:pos="4215"/>
          <w:tab w:val="left" w:pos="4647"/>
          <w:tab w:val="left" w:pos="4697"/>
          <w:tab w:val="left" w:pos="4969"/>
        </w:tabs>
        <w:spacing w:before="122" w:line="360" w:lineRule="auto"/>
        <w:ind w:left="100" w:right="1917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2065287</wp:posOffset>
            </wp:positionH>
            <wp:positionV relativeFrom="paragraph">
              <wp:posOffset>123569</wp:posOffset>
            </wp:positionV>
            <wp:extent cx="125276" cy="10414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6" cy="104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529">
        <w:rPr>
          <w:noProof/>
        </w:rPr>
      </w:r>
      <w:r w:rsidR="00137529">
        <w:rPr>
          <w:noProof/>
        </w:rPr>
        <w:pict>
          <v:shape id="_x0000_s1039" type="#_x0000_t202" style="position:absolute;left:0;text-align:left;margin-left:130.2pt;margin-top:13.15pt;width:157.45pt;height:8pt;z-index:-251653120;mso-position-horizontal-relative:page;mso-position-vertical-relative:text" filled="f" stroked="f">
            <v:textbox inset="0,0,0,0">
              <w:txbxContent>
                <w:p w:rsidR="005545CC" w:rsidRDefault="009000E6">
                  <w:pPr>
                    <w:tabs>
                      <w:tab w:val="left" w:pos="3076"/>
                    </w:tabs>
                    <w:spacing w:line="159" w:lineRule="exact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2</w:t>
                  </w:r>
                  <w:r>
                    <w:rPr>
                      <w:b/>
                      <w:w w:val="105"/>
                      <w:sz w:val="14"/>
                    </w:rPr>
                    <w:tab/>
                  </w:r>
                  <w:r>
                    <w:rPr>
                      <w:b/>
                      <w:spacing w:val="-8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  <w:t>+</w:t>
      </w:r>
      <w:r>
        <w:rPr>
          <w:b/>
          <w:sz w:val="24"/>
        </w:rPr>
        <w:tab/>
        <w:t>TiO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  <w:vertAlign w:val="superscript"/>
        </w:rPr>
        <w:t>*</w:t>
      </w:r>
      <w:r>
        <w:rPr>
          <w:b/>
          <w:sz w:val="24"/>
        </w:rPr>
        <w:tab/>
      </w:r>
      <w:r>
        <w:rPr>
          <w:rFonts w:ascii="Cambria Math" w:hAnsi="Cambria Math"/>
          <w:sz w:val="24"/>
        </w:rPr>
        <w:t xml:space="preserve">⇌ 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b/>
          <w:sz w:val="24"/>
        </w:rPr>
        <w:t>2 Oº</w:t>
      </w:r>
      <w:r>
        <w:rPr>
          <w:b/>
          <w:sz w:val="24"/>
        </w:rPr>
        <w:tab/>
        <w:t>+</w:t>
      </w:r>
      <w:r>
        <w:rPr>
          <w:b/>
          <w:sz w:val="24"/>
        </w:rPr>
        <w:tab/>
        <w:t>TiO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Oxygen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</w:rPr>
        <w:tab/>
        <w:t>Titanium</w:t>
      </w:r>
      <w:r>
        <w:rPr>
          <w:sz w:val="20"/>
        </w:rPr>
        <w:tab/>
      </w:r>
      <w:r>
        <w:rPr>
          <w:sz w:val="20"/>
        </w:rPr>
        <w:tab/>
        <w:t>Activated</w:t>
      </w:r>
      <w:r>
        <w:rPr>
          <w:spacing w:val="-4"/>
          <w:sz w:val="20"/>
        </w:rPr>
        <w:t xml:space="preserve"> </w:t>
      </w:r>
      <w:r>
        <w:rPr>
          <w:sz w:val="20"/>
        </w:rPr>
        <w:t>atomic</w:t>
      </w:r>
      <w:r>
        <w:rPr>
          <w:sz w:val="20"/>
        </w:rPr>
        <w:tab/>
      </w:r>
      <w:r>
        <w:rPr>
          <w:sz w:val="20"/>
        </w:rPr>
        <w:tab/>
        <w:t>Titanium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dioxide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Oxygen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dioxide</w:t>
      </w:r>
      <w:r>
        <w:rPr>
          <w:spacing w:val="-47"/>
          <w:sz w:val="20"/>
        </w:rPr>
        <w:t xml:space="preserve"> </w:t>
      </w:r>
      <w:r>
        <w:rPr>
          <w:b/>
          <w:sz w:val="24"/>
        </w:rPr>
        <w:t>Possible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oxidation reactions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organic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substances:</w:t>
      </w:r>
    </w:p>
    <w:p w:rsidR="005545CC" w:rsidRDefault="009000E6">
      <w:pPr>
        <w:tabs>
          <w:tab w:val="left" w:pos="1018"/>
          <w:tab w:val="left" w:pos="2239"/>
          <w:tab w:val="left" w:pos="2925"/>
          <w:tab w:val="left" w:pos="3422"/>
          <w:tab w:val="left" w:pos="3883"/>
        </w:tabs>
        <w:spacing w:line="259" w:lineRule="exact"/>
        <w:ind w:left="100"/>
        <w:rPr>
          <w:b/>
          <w:i/>
          <w:sz w:val="24"/>
        </w:rPr>
      </w:pP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ab/>
      </w:r>
      <w:r>
        <w:rPr>
          <w:rFonts w:ascii="Cambria Math" w:hAnsi="Cambria Math"/>
          <w:sz w:val="24"/>
        </w:rPr>
        <w:t>⇌</w:t>
      </w:r>
      <w:r>
        <w:rPr>
          <w:rFonts w:ascii="Cambria Math" w:hAnsi="Cambria Math"/>
          <w:sz w:val="24"/>
        </w:rPr>
        <w:tab/>
      </w:r>
      <w:r>
        <w:rPr>
          <w:b/>
          <w:sz w:val="24"/>
        </w:rPr>
        <w:t>Oº</w:t>
      </w:r>
      <w:r>
        <w:rPr>
          <w:b/>
          <w:sz w:val="24"/>
        </w:rPr>
        <w:tab/>
        <w:t>+</w:t>
      </w:r>
      <w:r>
        <w:rPr>
          <w:b/>
          <w:sz w:val="24"/>
        </w:rPr>
        <w:tab/>
      </w:r>
      <w:r>
        <w:rPr>
          <w:b/>
          <w:i/>
          <w:sz w:val="24"/>
        </w:rPr>
        <w:t>O</w:t>
      </w:r>
      <w:r>
        <w:rPr>
          <w:b/>
          <w:i/>
          <w:sz w:val="24"/>
          <w:vertAlign w:val="subscript"/>
        </w:rPr>
        <w:t>2</w:t>
      </w:r>
      <w:r>
        <w:rPr>
          <w:b/>
          <w:i/>
          <w:sz w:val="24"/>
        </w:rPr>
        <w:tab/>
        <w:t>Ozone decomposition</w:t>
      </w:r>
    </w:p>
    <w:p w:rsidR="005545CC" w:rsidRDefault="005545CC">
      <w:pPr>
        <w:pStyle w:val="BodyText"/>
        <w:spacing w:before="6"/>
        <w:rPr>
          <w:b/>
          <w:i/>
          <w:sz w:val="22"/>
        </w:rPr>
      </w:pPr>
    </w:p>
    <w:p w:rsidR="005545CC" w:rsidRDefault="009000E6">
      <w:pPr>
        <w:tabs>
          <w:tab w:val="left" w:pos="1534"/>
          <w:tab w:val="left" w:pos="3339"/>
        </w:tabs>
        <w:ind w:left="100"/>
        <w:rPr>
          <w:b/>
          <w:sz w:val="14"/>
        </w:rPr>
      </w:pPr>
      <w:r>
        <w:rPr>
          <w:b/>
          <w:w w:val="105"/>
          <w:sz w:val="14"/>
        </w:rPr>
        <w:t>Ozone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atomic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oxygen</w:t>
      </w:r>
      <w:r>
        <w:rPr>
          <w:b/>
          <w:spacing w:val="-1"/>
          <w:w w:val="105"/>
          <w:sz w:val="14"/>
        </w:rPr>
        <w:tab/>
      </w:r>
      <w:r>
        <w:rPr>
          <w:b/>
          <w:sz w:val="14"/>
        </w:rPr>
        <w:t>molecular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oxygen</w:t>
      </w:r>
    </w:p>
    <w:p w:rsidR="005545CC" w:rsidRDefault="005545CC">
      <w:pPr>
        <w:pStyle w:val="BodyText"/>
        <w:rPr>
          <w:b/>
          <w:sz w:val="16"/>
        </w:rPr>
      </w:pPr>
    </w:p>
    <w:p w:rsidR="005545CC" w:rsidRDefault="005545CC">
      <w:pPr>
        <w:pStyle w:val="BodyText"/>
        <w:rPr>
          <w:b/>
          <w:sz w:val="16"/>
        </w:rPr>
      </w:pPr>
    </w:p>
    <w:p w:rsidR="005545CC" w:rsidRDefault="009000E6">
      <w:pPr>
        <w:tabs>
          <w:tab w:val="left" w:pos="3400"/>
        </w:tabs>
        <w:spacing w:before="129"/>
        <w:ind w:left="149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1933575</wp:posOffset>
            </wp:positionH>
            <wp:positionV relativeFrom="paragraph">
              <wp:posOffset>148589</wp:posOffset>
            </wp:positionV>
            <wp:extent cx="409575" cy="285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Organic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Matter  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 xml:space="preserve">+  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Oº</w:t>
      </w:r>
      <w:r>
        <w:rPr>
          <w:b/>
          <w:i/>
          <w:sz w:val="20"/>
        </w:rPr>
        <w:tab/>
        <w:t>Oxidised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(mineralised)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Organic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Matter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+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z w:val="20"/>
          <w:vertAlign w:val="superscript"/>
        </w:rPr>
        <w:t>-</w:t>
      </w:r>
    </w:p>
    <w:p w:rsidR="005545CC" w:rsidRDefault="009000E6">
      <w:pPr>
        <w:spacing w:before="120"/>
        <w:ind w:left="1499"/>
        <w:rPr>
          <w:sz w:val="20"/>
        </w:rPr>
      </w:pPr>
      <w:r>
        <w:rPr>
          <w:sz w:val="20"/>
        </w:rPr>
        <w:t>Atomic</w:t>
      </w:r>
      <w:r>
        <w:rPr>
          <w:spacing w:val="-6"/>
          <w:sz w:val="20"/>
        </w:rPr>
        <w:t xml:space="preserve"> </w:t>
      </w:r>
      <w:r>
        <w:rPr>
          <w:sz w:val="20"/>
        </w:rPr>
        <w:t>oxygen</w:t>
      </w:r>
    </w:p>
    <w:p w:rsidR="005545CC" w:rsidRDefault="005545CC">
      <w:pPr>
        <w:pStyle w:val="BodyText"/>
        <w:rPr>
          <w:sz w:val="22"/>
        </w:rPr>
      </w:pPr>
    </w:p>
    <w:p w:rsidR="005545CC" w:rsidRDefault="009000E6">
      <w:pPr>
        <w:pStyle w:val="BodyText"/>
        <w:spacing w:before="143"/>
        <w:ind w:left="100" w:right="43"/>
        <w:jc w:val="both"/>
      </w:pPr>
      <w:r>
        <w:rPr>
          <w:noProof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2143125</wp:posOffset>
            </wp:positionH>
            <wp:positionV relativeFrom="paragraph">
              <wp:posOffset>490855</wp:posOffset>
            </wp:positionV>
            <wp:extent cx="2952750" cy="231457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Equipment Used:</w:t>
      </w:r>
      <w:r>
        <w:rPr>
          <w:b/>
          <w:spacing w:val="1"/>
        </w:rPr>
        <w:t xml:space="preserve"> </w:t>
      </w:r>
      <w:r>
        <w:t>The equipment used was made by coupling an ozone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photoactive</w:t>
      </w:r>
      <w:r>
        <w:rPr>
          <w:spacing w:val="1"/>
        </w:rPr>
        <w:t xml:space="preserve"> </w:t>
      </w:r>
      <w:r>
        <w:t>catalysts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ultraviolet</w:t>
      </w:r>
    </w:p>
    <w:p w:rsidR="005545CC" w:rsidRDefault="009000E6">
      <w:pPr>
        <w:pStyle w:val="BodyText"/>
        <w:ind w:left="100"/>
        <w:jc w:val="both"/>
      </w:pPr>
      <w:r>
        <w:t>light action.</w:t>
      </w:r>
    </w:p>
    <w:p w:rsidR="005545CC" w:rsidRDefault="009000E6">
      <w:pPr>
        <w:spacing w:before="120"/>
        <w:ind w:left="100"/>
      </w:pPr>
      <w:r>
        <w:t>References: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427"/>
        </w:tabs>
        <w:ind w:right="4917" w:firstLine="0"/>
        <w:jc w:val="both"/>
      </w:pPr>
      <w:r>
        <w:t>Pumping well where the</w:t>
      </w:r>
      <w:r>
        <w:rPr>
          <w:spacing w:val="-53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matter</w:t>
      </w:r>
      <w:r>
        <w:rPr>
          <w:spacing w:val="-52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recirculated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412"/>
        </w:tabs>
        <w:ind w:left="411" w:hanging="312"/>
        <w:jc w:val="both"/>
      </w:pPr>
      <w:r>
        <w:t>Fluid</w:t>
      </w:r>
      <w:r>
        <w:rPr>
          <w:spacing w:val="-7"/>
        </w:rPr>
        <w:t xml:space="preserve"> </w:t>
      </w:r>
      <w:r>
        <w:t>circulation</w:t>
      </w:r>
      <w:r>
        <w:rPr>
          <w:spacing w:val="-6"/>
        </w:rPr>
        <w:t xml:space="preserve"> </w:t>
      </w:r>
      <w:r>
        <w:t>pump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412"/>
        </w:tabs>
        <w:ind w:left="411" w:hanging="312"/>
        <w:jc w:val="both"/>
      </w:pPr>
      <w:r>
        <w:t>Flow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valve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607"/>
        </w:tabs>
        <w:ind w:right="4911" w:firstLine="0"/>
        <w:jc w:val="both"/>
      </w:pPr>
      <w:r>
        <w:t>Ozonation</w:t>
      </w:r>
      <w:r>
        <w:rPr>
          <w:spacing w:val="1"/>
        </w:rPr>
        <w:t xml:space="preserve"> </w:t>
      </w:r>
      <w:r>
        <w:t>chamber,</w:t>
      </w:r>
      <w:r>
        <w:rPr>
          <w:spacing w:val="-5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microporous</w:t>
      </w:r>
      <w:r>
        <w:rPr>
          <w:spacing w:val="-7"/>
        </w:rPr>
        <w:t xml:space="preserve"> </w:t>
      </w:r>
      <w:r>
        <w:t>diffusers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400"/>
        </w:tabs>
        <w:ind w:left="399" w:hanging="300"/>
        <w:jc w:val="both"/>
      </w:pPr>
      <w:r>
        <w:t>Air</w:t>
      </w:r>
      <w:r>
        <w:rPr>
          <w:spacing w:val="-6"/>
        </w:rPr>
        <w:t xml:space="preserve"> </w:t>
      </w:r>
      <w:r>
        <w:t>compressor</w:t>
      </w:r>
    </w:p>
    <w:p w:rsidR="005545CC" w:rsidRDefault="00137529">
      <w:pPr>
        <w:pStyle w:val="ListParagraph"/>
        <w:numPr>
          <w:ilvl w:val="0"/>
          <w:numId w:val="1"/>
        </w:numPr>
        <w:tabs>
          <w:tab w:val="left" w:pos="412"/>
        </w:tabs>
        <w:ind w:left="411" w:hanging="312"/>
        <w:jc w:val="both"/>
      </w:pPr>
      <w:r>
        <w:rPr>
          <w:noProof/>
        </w:rPr>
      </w:r>
      <w:r w:rsidR="00137529">
        <w:rPr>
          <w:noProof/>
        </w:rPr>
        <w:pict>
          <v:group id="_x0000_s1032" style="position:absolute;left:0;text-align:left;margin-left:37.5pt;margin-top:13.5pt;width:364.5pt;height:151.3pt;z-index:-251656192;mso-position-horizontal-relative:page" coordorigin="750,270" coordsize="7290,3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215;top:270;width:825;height:2760">
              <v:imagedata r:id="rId8" o:title=""/>
            </v:shape>
            <v:shape id="_x0000_s1037" type="#_x0000_t75" style="position:absolute;left:6450;top:1105;width:705;height:1935">
              <v:imagedata r:id="rId9" o:title=""/>
            </v:shape>
            <v:shape id="_x0000_s1036" type="#_x0000_t75" style="position:absolute;left:3540;top:1360;width:990;height:1935">
              <v:imagedata r:id="rId10" o:title=""/>
            </v:shape>
            <v:shape id="_x0000_s1035" type="#_x0000_t75" style="position:absolute;left:2175;top:1510;width:1305;height:1230">
              <v:imagedata r:id="rId11" o:title=""/>
            </v:shape>
            <v:shape id="_x0000_s1034" type="#_x0000_t75" style="position:absolute;left:4575;top:1611;width:1830;height:1035">
              <v:imagedata r:id="rId12" o:title=""/>
            </v:shape>
            <v:shape id="_x0000_s1033" type="#_x0000_t75" style="position:absolute;left:750;top:1506;width:1365;height:1200">
              <v:imagedata r:id="rId13" o:title=""/>
            </v:shape>
            <w10:wrap anchorx="page"/>
          </v:group>
        </w:pict>
      </w:r>
      <w:r w:rsidR="009000E6">
        <w:t>Ozone</w:t>
      </w:r>
      <w:r w:rsidR="009000E6">
        <w:rPr>
          <w:spacing w:val="-7"/>
        </w:rPr>
        <w:t xml:space="preserve"> </w:t>
      </w:r>
      <w:r w:rsidR="009000E6">
        <w:t>generator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412"/>
        </w:tabs>
        <w:ind w:left="411" w:hanging="312"/>
        <w:jc w:val="both"/>
      </w:pPr>
      <w:r>
        <w:t>Ozone</w:t>
      </w:r>
      <w:r>
        <w:rPr>
          <w:spacing w:val="-7"/>
        </w:rPr>
        <w:t xml:space="preserve"> </w:t>
      </w:r>
      <w:r>
        <w:t>flowmeter</w:t>
      </w:r>
    </w:p>
    <w:p w:rsidR="005545CC" w:rsidRDefault="009000E6">
      <w:pPr>
        <w:pStyle w:val="ListParagraph"/>
        <w:numPr>
          <w:ilvl w:val="0"/>
          <w:numId w:val="1"/>
        </w:numPr>
        <w:tabs>
          <w:tab w:val="left" w:pos="442"/>
        </w:tabs>
        <w:ind w:right="1842" w:firstLine="0"/>
        <w:jc w:val="both"/>
      </w:pPr>
      <w:r>
        <w:t>Photoreactor with UV lamps and TiO</w:t>
      </w:r>
      <w:r>
        <w:rPr>
          <w:vertAlign w:val="subscript"/>
        </w:rPr>
        <w:t>2</w:t>
      </w:r>
      <w:r>
        <w:t xml:space="preserve"> columns supported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borosilicate</w:t>
      </w:r>
      <w:r>
        <w:rPr>
          <w:spacing w:val="-1"/>
        </w:rPr>
        <w:t xml:space="preserve"> </w:t>
      </w:r>
      <w:r>
        <w:t>glass</w:t>
      </w:r>
    </w:p>
    <w:p w:rsidR="005545CC" w:rsidRDefault="004C2D31">
      <w:pPr>
        <w:pStyle w:val="BodyText"/>
        <w:rPr>
          <w:sz w:val="20"/>
        </w:rPr>
      </w:pPr>
      <w:r>
        <w:t>9</w:t>
      </w:r>
      <w:r w:rsidR="009000E6">
        <w:br w:type="column"/>
      </w:r>
    </w:p>
    <w:p w:rsidR="005545CC" w:rsidRDefault="005545CC">
      <w:pPr>
        <w:pStyle w:val="BodyText"/>
        <w:rPr>
          <w:sz w:val="20"/>
        </w:rPr>
      </w:pPr>
    </w:p>
    <w:p w:rsidR="005545CC" w:rsidRDefault="009000E6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487502848" behindDoc="0" locked="0" layoutInCell="1" allowOverlap="1">
            <wp:simplePos x="0" y="0"/>
            <wp:positionH relativeFrom="page">
              <wp:posOffset>5572125</wp:posOffset>
            </wp:positionH>
            <wp:positionV relativeFrom="paragraph">
              <wp:posOffset>146074</wp:posOffset>
            </wp:positionV>
            <wp:extent cx="1560786" cy="2514600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78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3872" behindDoc="0" locked="0" layoutInCell="1" allowOverlap="1">
            <wp:simplePos x="0" y="0"/>
            <wp:positionH relativeFrom="page">
              <wp:posOffset>7181850</wp:posOffset>
            </wp:positionH>
            <wp:positionV relativeFrom="paragraph">
              <wp:posOffset>146074</wp:posOffset>
            </wp:positionV>
            <wp:extent cx="1425967" cy="2497836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967" cy="249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8677275</wp:posOffset>
            </wp:positionH>
            <wp:positionV relativeFrom="paragraph">
              <wp:posOffset>146074</wp:posOffset>
            </wp:positionV>
            <wp:extent cx="1464489" cy="2482024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489" cy="248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5CC" w:rsidRDefault="005545CC">
      <w:pPr>
        <w:pStyle w:val="BodyText"/>
        <w:rPr>
          <w:sz w:val="26"/>
        </w:rPr>
      </w:pPr>
    </w:p>
    <w:p w:rsidR="005545CC" w:rsidRDefault="005545CC">
      <w:pPr>
        <w:pStyle w:val="BodyText"/>
        <w:spacing w:before="8"/>
        <w:rPr>
          <w:sz w:val="37"/>
        </w:rPr>
      </w:pPr>
    </w:p>
    <w:p w:rsidR="005545CC" w:rsidRDefault="009000E6">
      <w:pPr>
        <w:pStyle w:val="Heading2"/>
        <w:spacing w:before="0"/>
      </w:pPr>
      <w:r>
        <w:rPr>
          <w:u w:val="single"/>
        </w:rPr>
        <w:t>Methodology used in the trial:</w:t>
      </w:r>
    </w:p>
    <w:p w:rsidR="005545CC" w:rsidRDefault="009000E6">
      <w:pPr>
        <w:spacing w:before="120"/>
        <w:ind w:left="100" w:right="124"/>
        <w:jc w:val="both"/>
      </w:pPr>
      <w:r>
        <w:t>To</w:t>
      </w:r>
      <w:r>
        <w:rPr>
          <w:spacing w:val="1"/>
        </w:rPr>
        <w:t xml:space="preserve"> </w:t>
      </w:r>
      <w:r>
        <w:t>test and see the performance of the process, we proceeded to simulate 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55"/>
        </w:rPr>
        <w:t xml:space="preserve"> </w:t>
      </w:r>
      <w:r>
        <w:t>of the effluent from the Reconquista River (local river</w:t>
      </w:r>
      <w:r>
        <w:rPr>
          <w:spacing w:val="1"/>
        </w:rPr>
        <w:t xml:space="preserve"> </w:t>
      </w:r>
      <w:r>
        <w:t>with high organic pollution loads) and to extract samples in the pumping well at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equipment.</w:t>
      </w:r>
    </w:p>
    <w:p w:rsidR="005545CC" w:rsidRDefault="009000E6">
      <w:pPr>
        <w:spacing w:before="120"/>
        <w:ind w:left="100" w:right="114"/>
        <w:jc w:val="both"/>
      </w:pPr>
      <w:r>
        <w:t>The extracted samples were tested with a marker parameter that characterises the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 the process, that is, the COD (chemical oxygen demand) analysis,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expresses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oxidise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compounds, by quantitative equivalence with another more energetic oxidant such</w:t>
      </w:r>
      <w:r>
        <w:rPr>
          <w:spacing w:val="1"/>
        </w:rPr>
        <w:t xml:space="preserve"> </w:t>
      </w:r>
      <w:r>
        <w:t>as dichromate ion in an acid medium, catalysed with silver ion and acting on the</w:t>
      </w:r>
      <w:r>
        <w:rPr>
          <w:spacing w:val="1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148ºC.</w:t>
      </w:r>
    </w:p>
    <w:p w:rsidR="005545CC" w:rsidRDefault="009000E6">
      <w:pPr>
        <w:spacing w:before="120"/>
        <w:ind w:left="100" w:right="121"/>
        <w:jc w:val="both"/>
        <w:rPr>
          <w:sz w:val="24"/>
        </w:rPr>
      </w:pPr>
      <w:r>
        <w:rPr>
          <w:b/>
          <w:sz w:val="24"/>
          <w:u w:val="single"/>
        </w:rPr>
        <w:t>Data collection and evaluation of the results obtained:</w:t>
      </w:r>
      <w:r>
        <w:rPr>
          <w:b/>
          <w:sz w:val="24"/>
        </w:rPr>
        <w:t xml:space="preserve"> </w:t>
      </w:r>
      <w:r>
        <w:rPr>
          <w:sz w:val="24"/>
        </w:rPr>
        <w:t>If the COD values</w:t>
      </w:r>
      <w:r>
        <w:rPr>
          <w:spacing w:val="-57"/>
          <w:sz w:val="24"/>
        </w:rPr>
        <w:t xml:space="preserve"> </w:t>
      </w:r>
      <w:r>
        <w:rPr>
          <w:sz w:val="24"/>
        </w:rPr>
        <w:t>of organic matter are plotted as a function of time, the following results are</w:t>
      </w:r>
      <w:r>
        <w:rPr>
          <w:spacing w:val="1"/>
          <w:sz w:val="24"/>
        </w:rPr>
        <w:t xml:space="preserve"> </w:t>
      </w:r>
      <w:r>
        <w:rPr>
          <w:sz w:val="24"/>
        </w:rPr>
        <w:t>obtained:</w:t>
      </w:r>
    </w:p>
    <w:p w:rsidR="005545CC" w:rsidRDefault="000E501A">
      <w:pPr>
        <w:pStyle w:val="BodyText"/>
        <w:spacing w:before="11"/>
        <w:rPr>
          <w:sz w:val="9"/>
        </w:rPr>
      </w:pPr>
      <w:r>
        <w:rPr>
          <w:noProof/>
        </w:rPr>
        <w:drawing>
          <wp:anchor distT="0" distB="6616" distL="114300" distR="120781" simplePos="0" relativeHeight="487505920" behindDoc="1" locked="0" layoutInCell="1" allowOverlap="1" wp14:anchorId="782C2C9C" wp14:editId="51B85E26">
            <wp:simplePos x="0" y="0"/>
            <wp:positionH relativeFrom="column">
              <wp:posOffset>1225550</wp:posOffset>
            </wp:positionH>
            <wp:positionV relativeFrom="paragraph">
              <wp:posOffset>107950</wp:posOffset>
            </wp:positionV>
            <wp:extent cx="3411855" cy="2538095"/>
            <wp:effectExtent l="0" t="0" r="17145" b="14605"/>
            <wp:wrapTight wrapText="bothSides">
              <wp:wrapPolygon edited="0">
                <wp:start x="0" y="0"/>
                <wp:lineTo x="0" y="21562"/>
                <wp:lineTo x="21588" y="21562"/>
                <wp:lineTo x="21588" y="0"/>
                <wp:lineTo x="0" y="0"/>
              </wp:wrapPolygon>
            </wp:wrapTight>
            <wp:docPr id="2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29">
        <w:rPr>
          <w:noProof/>
        </w:rPr>
      </w:r>
      <w:r w:rsidR="00137529">
        <w:rPr>
          <w:noProof/>
        </w:rPr>
        <w:pict>
          <v:group id="_x0000_s1026" style="position:absolute;margin-left:566.3pt;margin-top:75.1pt;width:124.5pt;height:30.75pt;z-index:-251655168;mso-position-horizontal-relative:page;mso-position-vertical-relative:text" coordorigin="10755,795" coordsize="5370,3990">
            <v:shape id="_x0000_s1031" type="#_x0000_t75" style="position:absolute;left:10755;top:795;width:5370;height:3990">
              <v:imagedata r:id="rId18" o:title=""/>
            </v:shape>
            <v:shape id="_x0000_s1030" type="#_x0000_t75" style="position:absolute;left:11325;top:2425;width:2490;height:615">
              <v:imagedata r:id="rId19" o:title=""/>
            </v:shape>
            <v:shape id="_x0000_s1029" type="#_x0000_t75" style="position:absolute;left:13200;top:2590;width:105;height:120">
              <v:imagedata r:id="rId20" o:title=""/>
            </v:shape>
            <v:line id="_x0000_s1028" style="position:absolute" from="13005,2643" to="13530,2643" strokecolor="#0000fe"/>
            <v:line id="_x0000_s1027" style="position:absolute" from="13005,2883" to="13530,2883"/>
            <w10:wrap anchorx="page"/>
          </v:group>
        </w:pict>
      </w:r>
    </w:p>
    <w:tbl>
      <w:tblPr>
        <w:tblW w:w="0" w:type="auto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960"/>
      </w:tblGrid>
      <w:tr w:rsidR="005545CC">
        <w:trPr>
          <w:trHeight w:val="799"/>
        </w:trPr>
        <w:tc>
          <w:tcPr>
            <w:tcW w:w="760" w:type="dxa"/>
          </w:tcPr>
          <w:p w:rsidR="005545CC" w:rsidRDefault="005545CC">
            <w:pPr>
              <w:pStyle w:val="TableParagraph"/>
              <w:ind w:left="0"/>
              <w:rPr>
                <w:sz w:val="20"/>
              </w:rPr>
            </w:pPr>
          </w:p>
          <w:p w:rsidR="005545CC" w:rsidRDefault="009000E6">
            <w:pPr>
              <w:pStyle w:val="TableParagraph"/>
              <w:ind w:left="150" w:right="125" w:firstLine="14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(min)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COD</w:t>
            </w:r>
          </w:p>
          <w:p w:rsidR="005545CC" w:rsidRDefault="009000E6">
            <w:pPr>
              <w:pStyle w:val="TableParagraph"/>
              <w:ind w:left="283" w:right="155" w:hanging="100"/>
              <w:rPr>
                <w:sz w:val="20"/>
              </w:rPr>
            </w:pPr>
            <w:r>
              <w:rPr>
                <w:spacing w:val="-1"/>
                <w:sz w:val="20"/>
              </w:rPr>
              <w:t>(mgO</w:t>
            </w:r>
            <w:r>
              <w:rPr>
                <w:spacing w:val="-1"/>
                <w:sz w:val="20"/>
                <w:vertAlign w:val="subscript"/>
              </w:rPr>
              <w:t>2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5545CC">
        <w:trPr>
          <w:trHeight w:val="220"/>
        </w:trPr>
        <w:tc>
          <w:tcPr>
            <w:tcW w:w="760" w:type="dxa"/>
          </w:tcPr>
          <w:p w:rsidR="005545CC" w:rsidRDefault="009000E6">
            <w:pPr>
              <w:pStyle w:val="TableParagraph"/>
              <w:spacing w:before="5" w:line="194" w:lineRule="exact"/>
              <w:ind w:left="32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spacing w:before="5" w:line="194" w:lineRule="exact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1175</w:t>
            </w:r>
          </w:p>
        </w:tc>
      </w:tr>
      <w:tr w:rsidR="005545CC">
        <w:trPr>
          <w:trHeight w:val="240"/>
        </w:trPr>
        <w:tc>
          <w:tcPr>
            <w:tcW w:w="760" w:type="dxa"/>
          </w:tcPr>
          <w:p w:rsidR="005545CC" w:rsidRDefault="009000E6">
            <w:pPr>
              <w:pStyle w:val="TableParagraph"/>
              <w:spacing w:before="10" w:line="209" w:lineRule="exact"/>
              <w:ind w:left="2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spacing w:before="10" w:line="209" w:lineRule="exact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</w:tr>
      <w:tr w:rsidR="005545CC">
        <w:trPr>
          <w:trHeight w:val="220"/>
        </w:trPr>
        <w:tc>
          <w:tcPr>
            <w:tcW w:w="760" w:type="dxa"/>
          </w:tcPr>
          <w:p w:rsidR="005545CC" w:rsidRDefault="009000E6">
            <w:pPr>
              <w:pStyle w:val="TableParagraph"/>
              <w:spacing w:line="200" w:lineRule="exact"/>
              <w:ind w:left="2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spacing w:line="200" w:lineRule="exact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  <w:tr w:rsidR="005545CC">
        <w:trPr>
          <w:trHeight w:val="220"/>
        </w:trPr>
        <w:tc>
          <w:tcPr>
            <w:tcW w:w="760" w:type="dxa"/>
          </w:tcPr>
          <w:p w:rsidR="005545CC" w:rsidRDefault="009000E6">
            <w:pPr>
              <w:pStyle w:val="TableParagraph"/>
              <w:spacing w:line="199" w:lineRule="exact"/>
              <w:ind w:left="27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spacing w:line="199" w:lineRule="exact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</w:tr>
      <w:tr w:rsidR="005545CC">
        <w:trPr>
          <w:trHeight w:val="219"/>
        </w:trPr>
        <w:tc>
          <w:tcPr>
            <w:tcW w:w="760" w:type="dxa"/>
          </w:tcPr>
          <w:p w:rsidR="005545CC" w:rsidRDefault="009000E6">
            <w:pPr>
              <w:pStyle w:val="TableParagraph"/>
              <w:spacing w:before="5"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spacing w:before="5" w:line="194" w:lineRule="exact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5545CC">
        <w:trPr>
          <w:trHeight w:val="240"/>
        </w:trPr>
        <w:tc>
          <w:tcPr>
            <w:tcW w:w="760" w:type="dxa"/>
          </w:tcPr>
          <w:p w:rsidR="005545CC" w:rsidRDefault="009000E6">
            <w:pPr>
              <w:pStyle w:val="TableParagraph"/>
              <w:spacing w:before="10"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60" w:type="dxa"/>
          </w:tcPr>
          <w:p w:rsidR="005545CC" w:rsidRDefault="009000E6">
            <w:pPr>
              <w:pStyle w:val="TableParagraph"/>
              <w:spacing w:before="10" w:line="210" w:lineRule="exact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</w:tr>
    </w:tbl>
    <w:p w:rsidR="005545CC" w:rsidRDefault="009000E6">
      <w:pPr>
        <w:pStyle w:val="BodyText"/>
        <w:ind w:left="100" w:right="5627"/>
      </w:pPr>
      <w:r>
        <w:t>From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analysis</w:t>
      </w:r>
      <w:r>
        <w:rPr>
          <w:spacing w:val="-5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empirical</w:t>
      </w:r>
      <w:r>
        <w:rPr>
          <w:spacing w:val="-57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expression,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5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representative</w:t>
      </w:r>
      <w:r>
        <w:rPr>
          <w:spacing w:val="31"/>
        </w:rPr>
        <w:t xml:space="preserve"> </w:t>
      </w:r>
      <w:r>
        <w:t>for</w:t>
      </w:r>
    </w:p>
    <w:p w:rsidR="005545CC" w:rsidRDefault="009000E6">
      <w:pPr>
        <w:pStyle w:val="BodyText"/>
        <w:ind w:left="100" w:right="116"/>
        <w:jc w:val="both"/>
      </w:pP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kinetics.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corresponds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t>(COD</w:t>
      </w:r>
      <w:r>
        <w:rPr>
          <w:vertAlign w:val="subscript"/>
        </w:rPr>
        <w:t>0</w:t>
      </w:r>
      <w:r>
        <w:t>),</w:t>
      </w:r>
      <w:r>
        <w:rPr>
          <w:spacing w:val="1"/>
        </w:rPr>
        <w:t xml:space="preserve"> </w:t>
      </w:r>
      <w:r>
        <w:t>therefore the</w:t>
      </w:r>
      <w:r>
        <w:rPr>
          <w:spacing w:val="-57"/>
        </w:rPr>
        <w:t xml:space="preserve"> </w:t>
      </w:r>
      <w:r>
        <w:t>general expression would have the following format:</w:t>
      </w:r>
    </w:p>
    <w:p w:rsidR="005545CC" w:rsidRDefault="009000E6">
      <w:pPr>
        <w:pStyle w:val="Heading2"/>
        <w:spacing w:before="115"/>
      </w:pPr>
      <w:r>
        <w:t>COD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-5.10</w:t>
      </w:r>
      <w:r>
        <w:rPr>
          <w:vertAlign w:val="superscript"/>
        </w:rPr>
        <w:t>-6</w:t>
      </w:r>
      <w:r>
        <w:rPr>
          <w:spacing w:val="-5"/>
        </w:rPr>
        <w:t xml:space="preserve"> </w:t>
      </w:r>
      <w:r>
        <w:t>t</w:t>
      </w:r>
      <w:r>
        <w:rPr>
          <w:vertAlign w:val="superscript"/>
        </w:rPr>
        <w:t>4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2.10</w:t>
      </w:r>
      <w:r>
        <w:rPr>
          <w:vertAlign w:val="superscript"/>
        </w:rPr>
        <w:t>-4</w:t>
      </w:r>
      <w:r>
        <w:rPr>
          <w:spacing w:val="-4"/>
        </w:rPr>
        <w:t xml:space="preserve"> </w:t>
      </w:r>
      <w:r>
        <w:t>t</w:t>
      </w: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0,19</w:t>
      </w:r>
      <w:r>
        <w:rPr>
          <w:spacing w:val="-4"/>
        </w:rPr>
        <w:t xml:space="preserve"> </w:t>
      </w:r>
      <w:r>
        <w:t>t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25,70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1177</w:t>
      </w:r>
    </w:p>
    <w:p w:rsidR="005545CC" w:rsidRDefault="009000E6">
      <w:pPr>
        <w:spacing w:before="120"/>
        <w:ind w:left="100"/>
        <w:jc w:val="both"/>
        <w:rPr>
          <w:b/>
          <w:sz w:val="24"/>
        </w:rPr>
      </w:pPr>
      <w:r>
        <w:rPr>
          <w:b/>
          <w:color w:val="17365C"/>
          <w:sz w:val="24"/>
          <w:shd w:val="clear" w:color="auto" w:fill="D9D9D9"/>
        </w:rPr>
        <w:t>COD</w:t>
      </w:r>
      <w:r>
        <w:rPr>
          <w:b/>
          <w:color w:val="17365C"/>
          <w:spacing w:val="-3"/>
          <w:sz w:val="24"/>
          <w:shd w:val="clear" w:color="auto" w:fill="D9D9D9"/>
        </w:rPr>
        <w:t xml:space="preserve"> </w:t>
      </w:r>
      <w:r>
        <w:rPr>
          <w:b/>
          <w:color w:val="17365C"/>
          <w:sz w:val="24"/>
          <w:shd w:val="clear" w:color="auto" w:fill="D9D9D9"/>
        </w:rPr>
        <w:t>=</w:t>
      </w:r>
      <w:r>
        <w:rPr>
          <w:b/>
          <w:color w:val="17365C"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-5.10</w:t>
      </w:r>
      <w:r>
        <w:rPr>
          <w:b/>
          <w:sz w:val="24"/>
          <w:shd w:val="clear" w:color="auto" w:fill="D9D9D9"/>
          <w:vertAlign w:val="superscript"/>
        </w:rPr>
        <w:t>-6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</w:t>
      </w:r>
      <w:r>
        <w:rPr>
          <w:b/>
          <w:sz w:val="24"/>
          <w:shd w:val="clear" w:color="auto" w:fill="D9D9D9"/>
          <w:vertAlign w:val="superscript"/>
        </w:rPr>
        <w:t>4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+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2.10</w:t>
      </w:r>
      <w:r>
        <w:rPr>
          <w:b/>
          <w:sz w:val="24"/>
          <w:shd w:val="clear" w:color="auto" w:fill="D9D9D9"/>
          <w:vertAlign w:val="superscript"/>
        </w:rPr>
        <w:t>-4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</w:t>
      </w:r>
      <w:r>
        <w:rPr>
          <w:b/>
          <w:sz w:val="24"/>
          <w:shd w:val="clear" w:color="auto" w:fill="D9D9D9"/>
          <w:vertAlign w:val="superscript"/>
        </w:rPr>
        <w:t>3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+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0,19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</w:t>
      </w:r>
      <w:r>
        <w:rPr>
          <w:b/>
          <w:sz w:val="24"/>
          <w:shd w:val="clear" w:color="auto" w:fill="D9D9D9"/>
          <w:vertAlign w:val="superscript"/>
        </w:rPr>
        <w:t>2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-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25,70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+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COD</w:t>
      </w:r>
      <w:r>
        <w:rPr>
          <w:b/>
          <w:color w:val="17365C"/>
          <w:sz w:val="24"/>
          <w:shd w:val="clear" w:color="auto" w:fill="D9D9D9"/>
          <w:vertAlign w:val="subscript"/>
        </w:rPr>
        <w:t>0</w:t>
      </w:r>
    </w:p>
    <w:p w:rsidR="005545CC" w:rsidRDefault="009000E6">
      <w:pPr>
        <w:pStyle w:val="BodyText"/>
        <w:spacing w:before="120"/>
        <w:ind w:left="100"/>
        <w:jc w:val="both"/>
      </w:pPr>
      <w:r>
        <w:t>Equation expressing how COD varies as a function of time.</w:t>
      </w:r>
    </w:p>
    <w:p w:rsidR="005545CC" w:rsidRDefault="009000E6">
      <w:pPr>
        <w:pStyle w:val="BodyText"/>
        <w:spacing w:before="120"/>
        <w:ind w:left="100"/>
        <w:jc w:val="both"/>
      </w:pPr>
      <w:r>
        <w:t>If this expression is derived to give the reaction rate: v= -d(COD)/dt</w:t>
      </w:r>
    </w:p>
    <w:p w:rsidR="005545CC" w:rsidRDefault="009000E6">
      <w:pPr>
        <w:pStyle w:val="Heading2"/>
      </w:pPr>
      <w:r>
        <w:rPr>
          <w:shd w:val="clear" w:color="auto" w:fill="D9D9D9"/>
        </w:rPr>
        <w:t>v=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-d(COD)/dt=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2.10</w:t>
      </w:r>
      <w:r>
        <w:rPr>
          <w:shd w:val="clear" w:color="auto" w:fill="D9D9D9"/>
          <w:vertAlign w:val="superscript"/>
        </w:rPr>
        <w:t>-5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t</w:t>
      </w:r>
      <w:r>
        <w:rPr>
          <w:shd w:val="clear" w:color="auto" w:fill="D9D9D9"/>
          <w:vertAlign w:val="superscript"/>
        </w:rPr>
        <w:t>3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6.10</w:t>
      </w:r>
      <w:r>
        <w:rPr>
          <w:shd w:val="clear" w:color="auto" w:fill="D9D9D9"/>
          <w:vertAlign w:val="superscript"/>
        </w:rPr>
        <w:t>-4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t</w:t>
      </w:r>
      <w:r>
        <w:rPr>
          <w:shd w:val="clear" w:color="auto" w:fill="D9D9D9"/>
          <w:vertAlign w:val="superscript"/>
        </w:rPr>
        <w:t>2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0,38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t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+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25,70</w:t>
      </w:r>
    </w:p>
    <w:p w:rsidR="005545CC" w:rsidRDefault="009000E6">
      <w:pPr>
        <w:pStyle w:val="BodyText"/>
        <w:spacing w:before="120"/>
        <w:ind w:left="100" w:right="115"/>
        <w:jc w:val="both"/>
      </w:pPr>
      <w:r>
        <w:t>It can be seen that it is a cubic function, corresponding to a 3rd order kinetic</w:t>
      </w:r>
      <w:r>
        <w:rPr>
          <w:spacing w:val="-57"/>
        </w:rPr>
        <w:t xml:space="preserve"> </w:t>
      </w:r>
      <w:r>
        <w:t>equation, which governs the oxidation reaction of mineralisation of organic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ozonolysis,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heterogeneous</w:t>
      </w:r>
      <w:r>
        <w:rPr>
          <w:spacing w:val="1"/>
        </w:rPr>
        <w:t xml:space="preserve"> </w:t>
      </w:r>
      <w:r>
        <w:t>photocatalysis. Expression showing the remediation of polluted waters with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 time, very useful to develop a process of</w:t>
      </w:r>
      <w:r>
        <w:rPr>
          <w:spacing w:val="1"/>
        </w:rPr>
        <w:t xml:space="preserve"> </w:t>
      </w:r>
      <w:r>
        <w:t>oxidation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matter,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process.</w:t>
      </w:r>
    </w:p>
    <w:p w:rsidR="005545CC" w:rsidRDefault="009000E6">
      <w:pPr>
        <w:pStyle w:val="BodyText"/>
        <w:spacing w:before="120"/>
        <w:ind w:left="100" w:right="119"/>
        <w:jc w:val="both"/>
      </w:pPr>
      <w:r>
        <w:t>Analysing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simulation time (75 minutes), a COD decrease of 75.1 % process efficiency</w:t>
      </w:r>
      <w:r>
        <w:rPr>
          <w:spacing w:val="1"/>
        </w:rPr>
        <w:t xml:space="preserve"> </w:t>
      </w:r>
      <w:r>
        <w:t>is obtained.</w:t>
      </w:r>
    </w:p>
    <w:p w:rsidR="005545CC" w:rsidRDefault="009000E6">
      <w:pPr>
        <w:pStyle w:val="Heading1"/>
        <w:spacing w:before="120"/>
        <w:ind w:right="116"/>
        <w:rPr>
          <w:u w:val="none"/>
        </w:rPr>
      </w:pPr>
      <w:r>
        <w:t>Conclusions on the process of oxidation by ozonolysis and</w:t>
      </w:r>
      <w:r>
        <w:rPr>
          <w:spacing w:val="1"/>
          <w:u w:val="none"/>
        </w:rPr>
        <w:t xml:space="preserve"> </w:t>
      </w:r>
      <w:r>
        <w:t>photocatalysis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effluents</w:t>
      </w:r>
    </w:p>
    <w:p w:rsidR="005545CC" w:rsidRDefault="009000E6">
      <w:pPr>
        <w:spacing w:before="120"/>
        <w:ind w:left="100" w:right="113"/>
        <w:jc w:val="both"/>
        <w:rPr>
          <w:sz w:val="26"/>
        </w:rPr>
      </w:pPr>
      <w:r>
        <w:rPr>
          <w:color w:val="17365C"/>
          <w:sz w:val="26"/>
        </w:rPr>
        <w:t>It can be seen that in the pilot experiment, carried out on simulated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effluents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with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organic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pollutants, by means of a batch process of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ozonolysis combined with heterogeneous photocatalysis with specific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ultraviolet light irradiation, the organic matter loads were reduced by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oxidation by up to 75% in a period of 75 minutes and it is concluded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that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the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reaction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kinetics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are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viable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for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the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proposed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treatment.</w:t>
      </w:r>
    </w:p>
    <w:p w:rsidR="005545CC" w:rsidRDefault="009000E6">
      <w:pPr>
        <w:spacing w:before="120"/>
        <w:ind w:left="100" w:right="118"/>
        <w:jc w:val="both"/>
        <w:rPr>
          <w:sz w:val="26"/>
        </w:rPr>
      </w:pPr>
      <w:r>
        <w:rPr>
          <w:color w:val="17365C"/>
          <w:sz w:val="26"/>
        </w:rPr>
        <w:t>The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values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obtained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give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rise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to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encouraging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expectations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when</w:t>
      </w:r>
      <w:r>
        <w:rPr>
          <w:color w:val="17365C"/>
          <w:spacing w:val="1"/>
          <w:sz w:val="26"/>
        </w:rPr>
        <w:t xml:space="preserve"> </w:t>
      </w:r>
      <w:r>
        <w:rPr>
          <w:color w:val="17365C"/>
          <w:sz w:val="26"/>
        </w:rPr>
        <w:t>choosing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a</w:t>
      </w:r>
      <w:r>
        <w:rPr>
          <w:color w:val="17365C"/>
          <w:spacing w:val="-2"/>
          <w:sz w:val="26"/>
        </w:rPr>
        <w:t xml:space="preserve"> </w:t>
      </w:r>
      <w:r>
        <w:rPr>
          <w:color w:val="17365C"/>
          <w:sz w:val="26"/>
        </w:rPr>
        <w:t>feasible</w:t>
      </w:r>
      <w:r>
        <w:rPr>
          <w:color w:val="17365C"/>
          <w:spacing w:val="-2"/>
          <w:sz w:val="26"/>
        </w:rPr>
        <w:t xml:space="preserve"> </w:t>
      </w:r>
      <w:r>
        <w:rPr>
          <w:color w:val="17365C"/>
          <w:sz w:val="26"/>
        </w:rPr>
        <w:t>treatment</w:t>
      </w:r>
      <w:r>
        <w:rPr>
          <w:color w:val="17365C"/>
          <w:spacing w:val="-2"/>
          <w:sz w:val="26"/>
        </w:rPr>
        <w:t xml:space="preserve"> </w:t>
      </w:r>
      <w:r>
        <w:rPr>
          <w:color w:val="17365C"/>
          <w:sz w:val="26"/>
        </w:rPr>
        <w:t>for</w:t>
      </w:r>
      <w:r>
        <w:rPr>
          <w:color w:val="17365C"/>
          <w:spacing w:val="-2"/>
          <w:sz w:val="26"/>
        </w:rPr>
        <w:t xml:space="preserve"> </w:t>
      </w:r>
      <w:r>
        <w:rPr>
          <w:color w:val="17365C"/>
          <w:sz w:val="26"/>
        </w:rPr>
        <w:t>this</w:t>
      </w:r>
      <w:r>
        <w:rPr>
          <w:color w:val="17365C"/>
          <w:spacing w:val="-3"/>
          <w:sz w:val="26"/>
        </w:rPr>
        <w:t xml:space="preserve"> </w:t>
      </w:r>
      <w:r>
        <w:rPr>
          <w:color w:val="17365C"/>
          <w:sz w:val="26"/>
        </w:rPr>
        <w:t>type</w:t>
      </w:r>
      <w:r>
        <w:rPr>
          <w:color w:val="17365C"/>
          <w:spacing w:val="-2"/>
          <w:sz w:val="26"/>
        </w:rPr>
        <w:t xml:space="preserve"> </w:t>
      </w:r>
      <w:r>
        <w:rPr>
          <w:color w:val="17365C"/>
          <w:sz w:val="26"/>
        </w:rPr>
        <w:t>of</w:t>
      </w:r>
      <w:r>
        <w:rPr>
          <w:color w:val="17365C"/>
          <w:spacing w:val="-2"/>
          <w:sz w:val="26"/>
        </w:rPr>
        <w:t xml:space="preserve"> </w:t>
      </w:r>
      <w:r>
        <w:rPr>
          <w:color w:val="17365C"/>
          <w:sz w:val="26"/>
        </w:rPr>
        <w:t>effluent.</w:t>
      </w:r>
    </w:p>
    <w:sectPr w:rsidR="005545CC">
      <w:type w:val="continuous"/>
      <w:pgSz w:w="16840" w:h="23800"/>
      <w:pgMar w:top="660" w:right="600" w:bottom="280" w:left="620" w:header="720" w:footer="720" w:gutter="0"/>
      <w:cols w:num="2" w:space="720" w:equalWidth="0">
        <w:col w:w="7489" w:space="566"/>
        <w:col w:w="7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D1E"/>
    <w:multiLevelType w:val="hybridMultilevel"/>
    <w:tmpl w:val="FFFFFFFF"/>
    <w:lvl w:ilvl="0" w:tplc="3800D820">
      <w:start w:val="1"/>
      <w:numFmt w:val="decimal"/>
      <w:lvlText w:val="(%1)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CD2CC7F6">
      <w:numFmt w:val="bullet"/>
      <w:lvlText w:val="•"/>
      <w:lvlJc w:val="left"/>
      <w:pPr>
        <w:ind w:left="838" w:hanging="327"/>
      </w:pPr>
      <w:rPr>
        <w:rFonts w:hint="default"/>
        <w:lang w:val="en-US" w:eastAsia="en-US" w:bidi="ar-SA"/>
      </w:rPr>
    </w:lvl>
    <w:lvl w:ilvl="2" w:tplc="E364FE1C">
      <w:numFmt w:val="bullet"/>
      <w:lvlText w:val="•"/>
      <w:lvlJc w:val="left"/>
      <w:pPr>
        <w:ind w:left="1577" w:hanging="327"/>
      </w:pPr>
      <w:rPr>
        <w:rFonts w:hint="default"/>
        <w:lang w:val="en-US" w:eastAsia="en-US" w:bidi="ar-SA"/>
      </w:rPr>
    </w:lvl>
    <w:lvl w:ilvl="3" w:tplc="346A38A0">
      <w:numFmt w:val="bullet"/>
      <w:lvlText w:val="•"/>
      <w:lvlJc w:val="left"/>
      <w:pPr>
        <w:ind w:left="2316" w:hanging="327"/>
      </w:pPr>
      <w:rPr>
        <w:rFonts w:hint="default"/>
        <w:lang w:val="en-US" w:eastAsia="en-US" w:bidi="ar-SA"/>
      </w:rPr>
    </w:lvl>
    <w:lvl w:ilvl="4" w:tplc="BBE27E4E">
      <w:numFmt w:val="bullet"/>
      <w:lvlText w:val="•"/>
      <w:lvlJc w:val="left"/>
      <w:pPr>
        <w:ind w:left="3055" w:hanging="327"/>
      </w:pPr>
      <w:rPr>
        <w:rFonts w:hint="default"/>
        <w:lang w:val="en-US" w:eastAsia="en-US" w:bidi="ar-SA"/>
      </w:rPr>
    </w:lvl>
    <w:lvl w:ilvl="5" w:tplc="1AB86ACC">
      <w:numFmt w:val="bullet"/>
      <w:lvlText w:val="•"/>
      <w:lvlJc w:val="left"/>
      <w:pPr>
        <w:ind w:left="3794" w:hanging="327"/>
      </w:pPr>
      <w:rPr>
        <w:rFonts w:hint="default"/>
        <w:lang w:val="en-US" w:eastAsia="en-US" w:bidi="ar-SA"/>
      </w:rPr>
    </w:lvl>
    <w:lvl w:ilvl="6" w:tplc="97CE34AC">
      <w:numFmt w:val="bullet"/>
      <w:lvlText w:val="•"/>
      <w:lvlJc w:val="left"/>
      <w:pPr>
        <w:ind w:left="4533" w:hanging="327"/>
      </w:pPr>
      <w:rPr>
        <w:rFonts w:hint="default"/>
        <w:lang w:val="en-US" w:eastAsia="en-US" w:bidi="ar-SA"/>
      </w:rPr>
    </w:lvl>
    <w:lvl w:ilvl="7" w:tplc="2244DA00">
      <w:numFmt w:val="bullet"/>
      <w:lvlText w:val="•"/>
      <w:lvlJc w:val="left"/>
      <w:pPr>
        <w:ind w:left="5272" w:hanging="327"/>
      </w:pPr>
      <w:rPr>
        <w:rFonts w:hint="default"/>
        <w:lang w:val="en-US" w:eastAsia="en-US" w:bidi="ar-SA"/>
      </w:rPr>
    </w:lvl>
    <w:lvl w:ilvl="8" w:tplc="ECB0C896">
      <w:numFmt w:val="bullet"/>
      <w:lvlText w:val="•"/>
      <w:lvlJc w:val="left"/>
      <w:pPr>
        <w:ind w:left="6011" w:hanging="327"/>
      </w:pPr>
      <w:rPr>
        <w:rFonts w:hint="default"/>
        <w:lang w:val="en-US" w:eastAsia="en-US" w:bidi="ar-SA"/>
      </w:rPr>
    </w:lvl>
  </w:abstractNum>
  <w:num w:numId="1" w16cid:durableId="31827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5CC"/>
    <w:rsid w:val="000E501A"/>
    <w:rsid w:val="00137529"/>
    <w:rsid w:val="004C2D31"/>
    <w:rsid w:val="005545CC"/>
    <w:rsid w:val="00763683"/>
    <w:rsid w:val="009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CCD6C28-F9FD-E14A-90CC-6CEA4B2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00" w:right="51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11" w:hanging="3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image" Target="media/image13.pn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chart" Target="charts/chart1.xml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20" Type="http://schemas.openxmlformats.org/officeDocument/2006/relationships/image" Target="media/image15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pn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19" Type="http://schemas.openxmlformats.org/officeDocument/2006/relationships/image" Target="media/image14.pn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Relationship Id="rId22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 /><Relationship Id="rId1" Type="http://schemas.openxmlformats.org/officeDocument/2006/relationships/themeOverride" Target="../theme/themeOverrid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564927004915017E-2"/>
          <c:y val="0.19560570071258906"/>
          <c:w val="0.8686107684562856"/>
          <c:h val="0.66928562817641346"/>
        </c:manualLayout>
      </c:layout>
      <c:scatterChart>
        <c:scatterStyle val="smoothMarker"/>
        <c:varyColors val="0"/>
        <c:ser>
          <c:idx val="0"/>
          <c:order val="0"/>
          <c:trendline>
            <c:trendlineType val="log"/>
            <c:dispRSqr val="0"/>
            <c:dispEq val="0"/>
          </c:trendline>
          <c:trendline>
            <c:trendlineType val="poly"/>
            <c:order val="4"/>
            <c:dispRSqr val="1"/>
            <c:dispEq val="1"/>
            <c:trendlineLbl>
              <c:layout>
                <c:manualLayout>
                  <c:x val="6.0133904830523638E-2"/>
                  <c:y val="-0.4600804532793594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0" b="1"/>
                      <a:t>COD = -5E-06 t</a:t>
                    </a:r>
                    <a:r>
                      <a:rPr lang="en-US" sz="800" b="1" baseline="30000"/>
                      <a:t>4</a:t>
                    </a:r>
                    <a:r>
                      <a:rPr lang="en-US" sz="800" b="1"/>
                      <a:t> + 0,0002 t</a:t>
                    </a:r>
                    <a:r>
                      <a:rPr lang="en-US" sz="800" b="1" baseline="30000"/>
                      <a:t>3</a:t>
                    </a:r>
                    <a:r>
                      <a:rPr lang="en-US" sz="800" b="1"/>
                      <a:t> + 0,1944 t</a:t>
                    </a:r>
                    <a:r>
                      <a:rPr lang="en-US" sz="800" b="1" baseline="30000"/>
                      <a:t>2</a:t>
                    </a:r>
                    <a:r>
                      <a:rPr lang="en-US" sz="800" b="1"/>
                      <a:t> - 25,698 t + 1176,9
R² = 0,9985</a:t>
                    </a:r>
                  </a:p>
                </c:rich>
              </c:tx>
              <c:numFmt formatCode="General" sourceLinked="0"/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tx1">
                      <a:lumMod val="95000"/>
                      <a:lumOff val="5000"/>
                    </a:schemeClr>
                  </a:solidFill>
                </a:ln>
              </c:spPr>
            </c:trendlineLbl>
          </c:trendline>
          <c:trendline>
            <c:trendlineType val="poly"/>
            <c:order val="3"/>
            <c:dispRSqr val="0"/>
            <c:dispEq val="0"/>
          </c:trendline>
          <c:x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</c:numCache>
            </c:numRef>
          </c:xVal>
          <c:yVal>
            <c:numRef>
              <c:f>Hoja1!$C$2:$C$7</c:f>
              <c:numCache>
                <c:formatCode>General</c:formatCode>
                <c:ptCount val="6"/>
                <c:pt idx="0">
                  <c:v>1175</c:v>
                </c:pt>
                <c:pt idx="1">
                  <c:v>845</c:v>
                </c:pt>
                <c:pt idx="2">
                  <c:v>565</c:v>
                </c:pt>
                <c:pt idx="3">
                  <c:v>435</c:v>
                </c:pt>
                <c:pt idx="4">
                  <c:v>315</c:v>
                </c:pt>
                <c:pt idx="5">
                  <c:v>293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C03-9B45-AA21-451279F1D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1582720"/>
        <c:axId val="271584640"/>
      </c:scatterChart>
      <c:valAx>
        <c:axId val="27158272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271584640"/>
        <c:crosses val="autoZero"/>
        <c:crossBetween val="midCat"/>
      </c:valAx>
      <c:valAx>
        <c:axId val="271584640"/>
        <c:scaling>
          <c:orientation val="minMax"/>
        </c:scaling>
        <c:delete val="0"/>
        <c:axPos val="l"/>
        <c:majorGridlines/>
        <c:minorGridlines/>
        <c:numFmt formatCode="@" sourceLinked="0"/>
        <c:majorTickMark val="out"/>
        <c:minorTickMark val="none"/>
        <c:tickLblPos val="nextTo"/>
        <c:crossAx val="271582720"/>
        <c:crosses val="autoZero"/>
        <c:crossBetween val="midCat"/>
      </c:valAx>
      <c:spPr>
        <a:solidFill>
          <a:schemeClr val="bg2">
            <a:lumMod val="90000"/>
          </a:schemeClr>
        </a:solidFill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50"/>
      </a:pPr>
      <a:endParaRPr lang="en-US"/>
    </a:p>
  </c:txPr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0.00146</cdr:x>
      <cdr:y>0.08314</cdr:y>
    </cdr:from>
    <cdr:to>
      <cdr:x>0.26647</cdr:x>
      <cdr:y>0.17102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7620" y="266700"/>
          <a:ext cx="1379220" cy="281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 b="1"/>
            <a:t>COD</a:t>
          </a:r>
          <a:r>
            <a:rPr lang="es-ES" sz="1100" b="1" baseline="0"/>
            <a:t> (mg O</a:t>
          </a:r>
          <a:r>
            <a:rPr lang="es-ES" sz="1100" b="1" baseline="-25000"/>
            <a:t>2</a:t>
          </a:r>
          <a:r>
            <a:rPr lang="es-ES" sz="1100" b="1" baseline="0"/>
            <a:t>/ dm</a:t>
          </a:r>
          <a:r>
            <a:rPr lang="es-ES" sz="1100" b="1" baseline="30000"/>
            <a:t>3</a:t>
          </a:r>
          <a:r>
            <a:rPr lang="es-ES" sz="1100" baseline="0"/>
            <a:t>)</a:t>
          </a:r>
          <a:endParaRPr lang="es-ES" sz="1100"/>
        </a:p>
      </cdr:txBody>
    </cdr:sp>
  </cdr:relSizeAnchor>
  <cdr:relSizeAnchor xmlns:cdr="http://schemas.openxmlformats.org/drawingml/2006/chartDrawing">
    <cdr:from>
      <cdr:x>0.86463</cdr:x>
      <cdr:y>0.94992</cdr:y>
    </cdr:from>
    <cdr:to>
      <cdr:x>1</cdr:x>
      <cdr:y>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4526280" y="4625340"/>
          <a:ext cx="708660" cy="243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 sz="1100" b="1"/>
        </a:p>
      </cdr:txBody>
    </cdr:sp>
  </cdr:relSizeAnchor>
  <cdr:relSizeAnchor xmlns:cdr="http://schemas.openxmlformats.org/drawingml/2006/chartDrawing">
    <cdr:from>
      <cdr:x>0.38282</cdr:x>
      <cdr:y>0.0266</cdr:y>
    </cdr:from>
    <cdr:to>
      <cdr:x>0.69903</cdr:x>
      <cdr:y>0.11474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1562100" y="83847"/>
          <a:ext cx="1290281" cy="2778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S" sz="1000" b="1">
              <a:latin typeface="Arial" pitchFamily="34" charset="0"/>
              <a:cs typeface="Arial" pitchFamily="34" charset="0"/>
            </a:rPr>
            <a:t>COD=f ( t)</a:t>
          </a:r>
        </a:p>
      </cdr:txBody>
    </cdr:sp>
  </cdr:relSizeAnchor>
  <cdr:relSizeAnchor xmlns:cdr="http://schemas.openxmlformats.org/drawingml/2006/chartDrawing">
    <cdr:from>
      <cdr:x>0.00146</cdr:x>
      <cdr:y>0.08314</cdr:y>
    </cdr:from>
    <cdr:to>
      <cdr:x>0.43754</cdr:x>
      <cdr:y>0.17102</cdr:y>
    </cdr:to>
    <cdr:sp macro="" textlink="">
      <cdr:nvSpPr>
        <cdr:cNvPr id="5" name="1 CuadroTexto"/>
        <cdr:cNvSpPr txBox="1"/>
      </cdr:nvSpPr>
      <cdr:spPr>
        <a:xfrm xmlns:a="http://schemas.openxmlformats.org/drawingml/2006/main">
          <a:off x="4144" y="196816"/>
          <a:ext cx="1237802" cy="208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 b="1"/>
            <a:t>COD</a:t>
          </a:r>
          <a:r>
            <a:rPr lang="es-ES" sz="1100" b="1" baseline="0"/>
            <a:t> (mg O</a:t>
          </a:r>
          <a:r>
            <a:rPr lang="es-ES" sz="1100" b="1" baseline="-25000"/>
            <a:t>2</a:t>
          </a:r>
          <a:r>
            <a:rPr lang="es-ES" sz="1100" b="1" baseline="0"/>
            <a:t>/ dm</a:t>
          </a:r>
          <a:r>
            <a:rPr lang="es-ES" sz="1100" b="1" baseline="30000"/>
            <a:t>3</a:t>
          </a:r>
          <a:r>
            <a:rPr lang="es-ES" sz="1100" baseline="0"/>
            <a:t>)</a:t>
          </a:r>
          <a:endParaRPr lang="es-ES" sz="1100"/>
        </a:p>
      </cdr:txBody>
    </cdr:sp>
  </cdr:relSizeAnchor>
  <cdr:relSizeAnchor xmlns:cdr="http://schemas.openxmlformats.org/drawingml/2006/chartDrawing">
    <cdr:from>
      <cdr:x>0.75756</cdr:x>
      <cdr:y>0.91341</cdr:y>
    </cdr:from>
    <cdr:to>
      <cdr:x>1</cdr:x>
      <cdr:y>1</cdr:y>
    </cdr:to>
    <cdr:sp macro="" textlink="">
      <cdr:nvSpPr>
        <cdr:cNvPr id="6" name="2 CuadroTexto"/>
        <cdr:cNvSpPr txBox="1"/>
      </cdr:nvSpPr>
      <cdr:spPr>
        <a:xfrm xmlns:a="http://schemas.openxmlformats.org/drawingml/2006/main">
          <a:off x="3091412" y="2879184"/>
          <a:ext cx="989267" cy="272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800" b="1">
              <a:latin typeface="Arial" pitchFamily="34" charset="0"/>
              <a:cs typeface="Arial" pitchFamily="34" charset="0"/>
            </a:rPr>
            <a:t>t (min)</a:t>
          </a:r>
        </a:p>
      </cdr:txBody>
    </cdr:sp>
  </cdr:relSizeAnchor>
  <cdr:relSizeAnchor xmlns:cdr="http://schemas.openxmlformats.org/drawingml/2006/chartDrawing">
    <cdr:from>
      <cdr:x>0.38282</cdr:x>
      <cdr:y>0.0266</cdr:y>
    </cdr:from>
    <cdr:to>
      <cdr:x>0.72603</cdr:x>
      <cdr:y>0.1169</cdr:y>
    </cdr:to>
    <cdr:sp macro="" textlink="">
      <cdr:nvSpPr>
        <cdr:cNvPr id="7" name="3 CuadroTexto"/>
        <cdr:cNvSpPr txBox="1"/>
      </cdr:nvSpPr>
      <cdr:spPr>
        <a:xfrm xmlns:a="http://schemas.openxmlformats.org/drawingml/2006/main">
          <a:off x="1562101" y="83848"/>
          <a:ext cx="1400472" cy="2846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es-ES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Ozonolysis and Photocatalytic Oxidation Treatment of Effluents with Organic Contamination.docx</dc:title>
  <cp:lastModifiedBy>Luciallorden@gmail.com</cp:lastModifiedBy>
  <cp:revision>2</cp:revision>
  <dcterms:created xsi:type="dcterms:W3CDTF">2022-07-08T22:03:00Z</dcterms:created>
  <dcterms:modified xsi:type="dcterms:W3CDTF">2022-07-08T22:03:00Z</dcterms:modified>
</cp:coreProperties>
</file>